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outlineLvl w:val="0"/>
        <w:rPr>
          <w:rFonts w:ascii="黑体" w:hAnsi="华文仿宋" w:eastAsia="黑体" w:cs="宋体"/>
          <w:b/>
          <w:kern w:val="0"/>
          <w:sz w:val="28"/>
          <w:szCs w:val="28"/>
        </w:rPr>
      </w:pPr>
      <w:r>
        <w:rPr>
          <w:rFonts w:hint="eastAsia" w:ascii="黑体" w:hAnsi="华文仿宋" w:eastAsia="黑体" w:cs="宋体"/>
          <w:b/>
          <w:kern w:val="0"/>
          <w:sz w:val="28"/>
          <w:szCs w:val="28"/>
        </w:rPr>
        <w:t>评审</w:t>
      </w:r>
      <w:r>
        <w:rPr>
          <w:rFonts w:hint="eastAsia" w:ascii="黑体" w:hAnsi="华文仿宋" w:eastAsia="黑体" w:cs="宋体"/>
          <w:b/>
          <w:kern w:val="0"/>
          <w:sz w:val="28"/>
          <w:szCs w:val="28"/>
          <w:lang w:eastAsia="zh-CN"/>
        </w:rPr>
        <w:t>方案</w:t>
      </w:r>
      <w:bookmarkStart w:id="0" w:name="_GoBack"/>
      <w:bookmarkEnd w:id="0"/>
    </w:p>
    <w:p>
      <w:pPr>
        <w:spacing w:line="460" w:lineRule="exact"/>
        <w:ind w:firstLine="64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（一）总体原则</w:t>
      </w:r>
    </w:p>
    <w:p>
      <w:pPr>
        <w:spacing w:line="460" w:lineRule="exact"/>
        <w:ind w:firstLine="64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比赛将遵循公平、公正、公开原则，在省教育厅的指导下，组织参赛选手和专家对入围作品进行评选，并对获奖教师及优秀赛事组织单位予以表彰。</w:t>
      </w:r>
    </w:p>
    <w:p>
      <w:pPr>
        <w:spacing w:line="460" w:lineRule="exact"/>
        <w:ind w:firstLine="64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（二）评审专家</w:t>
      </w:r>
    </w:p>
    <w:p>
      <w:pPr>
        <w:pStyle w:val="2"/>
        <w:shd w:val="clear" w:color="auto" w:fill="FFFFFF"/>
        <w:spacing w:before="0" w:beforeAutospacing="0" w:after="0" w:afterAutospacing="0" w:line="460" w:lineRule="exact"/>
        <w:ind w:left="300"/>
        <w:rPr>
          <w:sz w:val="28"/>
          <w:szCs w:val="28"/>
        </w:rPr>
      </w:pPr>
      <w:r>
        <w:rPr>
          <w:sz w:val="28"/>
          <w:szCs w:val="28"/>
        </w:rPr>
        <w:t>  1.</w:t>
      </w:r>
      <w:r>
        <w:rPr>
          <w:rFonts w:hint="eastAsia"/>
          <w:sz w:val="28"/>
          <w:szCs w:val="28"/>
        </w:rPr>
        <w:t>本次大赛的评审专家包含两部分群体，第一部分群体是所有参赛选手，第二部分群体是由教育学专家、教育技术学专家、国家级精品课程主持人组成的专家委员会。</w:t>
      </w:r>
    </w:p>
    <w:p>
      <w:pPr>
        <w:pStyle w:val="2"/>
        <w:shd w:val="clear" w:color="auto" w:fill="FFFFFF"/>
        <w:spacing w:before="0" w:beforeAutospacing="0" w:after="0" w:afterAutospacing="0" w:line="460" w:lineRule="exact"/>
        <w:ind w:left="300"/>
        <w:rPr>
          <w:sz w:val="28"/>
          <w:szCs w:val="28"/>
        </w:rPr>
      </w:pPr>
      <w:r>
        <w:rPr>
          <w:sz w:val="28"/>
          <w:szCs w:val="28"/>
        </w:rPr>
        <w:t>  2.</w:t>
      </w:r>
      <w:r>
        <w:rPr>
          <w:rFonts w:hint="eastAsia"/>
          <w:sz w:val="28"/>
          <w:szCs w:val="28"/>
        </w:rPr>
        <w:t>专家委员会届时根据作品学科分布，邀请学科专家对作品实行评审</w:t>
      </w:r>
    </w:p>
    <w:p>
      <w:pPr>
        <w:pStyle w:val="2"/>
        <w:shd w:val="clear" w:color="auto" w:fill="FFFFFF"/>
        <w:spacing w:before="0" w:beforeAutospacing="0" w:after="0" w:afterAutospacing="0" w:line="460" w:lineRule="exact"/>
        <w:ind w:left="300"/>
        <w:rPr>
          <w:sz w:val="28"/>
          <w:szCs w:val="28"/>
        </w:rPr>
      </w:pPr>
      <w:r>
        <w:rPr>
          <w:sz w:val="28"/>
          <w:szCs w:val="28"/>
        </w:rPr>
        <w:t>  3.</w:t>
      </w:r>
      <w:r>
        <w:rPr>
          <w:rFonts w:hint="eastAsia"/>
          <w:sz w:val="28"/>
          <w:szCs w:val="28"/>
        </w:rPr>
        <w:t>评选采用实名制。</w:t>
      </w:r>
    </w:p>
    <w:p>
      <w:pPr>
        <w:pStyle w:val="2"/>
        <w:shd w:val="clear" w:color="auto" w:fill="FFFFFF"/>
        <w:spacing w:before="0" w:beforeAutospacing="0" w:after="0" w:afterAutospacing="0" w:line="460" w:lineRule="exact"/>
        <w:ind w:left="3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（三）评审方式</w:t>
      </w:r>
    </w:p>
    <w:p>
      <w:pPr>
        <w:pStyle w:val="2"/>
        <w:shd w:val="clear" w:color="auto" w:fill="FFFFFF"/>
        <w:spacing w:before="0" w:beforeAutospacing="0" w:after="0" w:afterAutospacing="0" w:line="460" w:lineRule="exact"/>
        <w:ind w:left="300" w:leftChars="143"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各高校组织评选推荐参赛教师，学校如需校园端评审平台可与主办方申请，即可组织学校初赛评审和管理本校参赛作品</w:t>
      </w:r>
    </w:p>
    <w:p>
      <w:pPr>
        <w:pStyle w:val="2"/>
        <w:shd w:val="clear" w:color="auto" w:fill="FFFFFF"/>
        <w:spacing w:before="0" w:beforeAutospacing="0" w:after="0" w:afterAutospacing="0" w:line="460" w:lineRule="exact"/>
        <w:ind w:left="300" w:leftChars="143"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对所有参赛作品根据内容分组，参赛选手和专家委员会成员进入评审系统</w:t>
      </w:r>
      <w:r>
        <w:rPr>
          <w:sz w:val="28"/>
          <w:szCs w:val="28"/>
        </w:rPr>
        <w:t>(www.mocedu.com)</w:t>
      </w:r>
      <w:r>
        <w:rPr>
          <w:rFonts w:hint="eastAsia"/>
          <w:sz w:val="28"/>
          <w:szCs w:val="28"/>
        </w:rPr>
        <w:t>进行网络评审。参赛选手评分权重占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和专家评分权重占</w:t>
      </w:r>
      <w:r>
        <w:rPr>
          <w:sz w:val="28"/>
          <w:szCs w:val="28"/>
        </w:rPr>
        <w:t>90%</w:t>
      </w:r>
      <w:r>
        <w:rPr>
          <w:rFonts w:hint="eastAsia"/>
          <w:sz w:val="28"/>
          <w:szCs w:val="28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460" w:lineRule="exact"/>
        <w:ind w:left="300"/>
        <w:rPr>
          <w:sz w:val="28"/>
          <w:szCs w:val="28"/>
        </w:rPr>
      </w:pPr>
      <w:r>
        <w:rPr>
          <w:sz w:val="28"/>
          <w:szCs w:val="28"/>
        </w:rPr>
        <w:t>  3.</w:t>
      </w:r>
      <w:r>
        <w:rPr>
          <w:rFonts w:hint="eastAsia"/>
          <w:sz w:val="28"/>
          <w:szCs w:val="28"/>
        </w:rPr>
        <w:t>参赛选手对同组内非本人作品（随机产生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件）按照评分规则评分；对恶意评分者取消参赛资格。</w:t>
      </w:r>
    </w:p>
    <w:p>
      <w:pPr>
        <w:spacing w:line="460" w:lineRule="exact"/>
        <w:ind w:firstLine="64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（四）评分标准</w:t>
      </w:r>
    </w:p>
    <w:tbl>
      <w:tblPr>
        <w:tblStyle w:val="4"/>
        <w:tblW w:w="838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250"/>
      </w:tblGrid>
      <w:tr>
        <w:tblPrEx>
          <w:tblLayout w:type="fixed"/>
        </w:tblPrEx>
        <w:trPr>
          <w:trHeight w:val="265" w:hRule="atLeast"/>
        </w:trPr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</w:t>
            </w:r>
          </w:p>
        </w:tc>
        <w:tc>
          <w:tcPr>
            <w:tcW w:w="72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一、材料完整（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分）：</w:t>
            </w:r>
          </w:p>
        </w:tc>
      </w:tr>
      <w:tr>
        <w:tblPrEx>
          <w:tblLayout w:type="fixed"/>
        </w:tblPrEx>
        <w:trPr>
          <w:trHeight w:val="781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包含微课视频，以及在微课录制过程中使用到的全部辅助扩展资料：教学方案设计、课件、习题、动画、视频、图片、答案、总结等。辅助扩展资料以单个文件夹形式上传提供。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265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二、技术规范（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分）：</w:t>
            </w:r>
          </w:p>
        </w:tc>
      </w:tr>
      <w:tr>
        <w:tblPrEx>
          <w:tblLayout w:type="fixed"/>
        </w:tblPrEx>
        <w:trPr>
          <w:trHeight w:val="766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1.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微课视频：时长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5-10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分钟为宜（不超过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分钟）；视频图像清晰稳定、构图合理、声音清楚，主要教学环节有字幕提示等；视频片头应显示微课标题、作者、单位。</w:t>
            </w:r>
          </w:p>
        </w:tc>
      </w:tr>
      <w:tr>
        <w:tblPrEx>
          <w:tblLayout w:type="fixed"/>
        </w:tblPrEx>
        <w:trPr>
          <w:trHeight w:val="516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．演示文稿：配合视频讲授使用的主要教学课件限定为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格式，需单独文件提交；其他拓展资料符合网站上传要求。</w:t>
            </w:r>
          </w:p>
        </w:tc>
      </w:tr>
      <w:tr>
        <w:tblPrEx>
          <w:tblLayout w:type="fixed"/>
        </w:tblPrEx>
        <w:trPr>
          <w:trHeight w:val="530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．教学方案设计应注明讲课内容所属大类专业、专业、课程名称、知识点（技能点）名称及适用对象等信息。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265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三、选题价值（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分）：</w:t>
            </w:r>
          </w:p>
        </w:tc>
      </w:tr>
      <w:tr>
        <w:tblPrEx>
          <w:tblLayout w:type="fixed"/>
        </w:tblPrEx>
        <w:trPr>
          <w:trHeight w:val="1297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选取教学环节中某一知识点、技能点、专题、实训活动作为选题，针对教学中的常见、典型、有代表性的问题或内容进行设计，类型包括但不限于：讲授类、解题类、答疑类、实训实验类、活动类。选题尽量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小而精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，具备独立性、完整性、示范性、代表性，能够有效解决教与学过程中的重点、难点问题。鼓励深入浅出、通俗易懂、短小精悍的作品。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265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四、教学设计与组织（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分）：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516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1.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教学方案：围绕选题设计，突出重点，注重实效；教学目的明确，教学思路清晰，注重学生全面发展。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516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2.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教学内容：严谨充实，能理论联系实际，反映社会和专业发展，无科学性、政治性错误及不良信息内容。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781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3.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教学组织与编排：要符合学生的认知规律；教学过程主线清晰、重点突出，逻辑性强，明了易懂；注重突出以学生为主体的教学理念以及学做一体的有机结合。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265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五、教学方法与手段（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分）：</w:t>
            </w:r>
          </w:p>
        </w:tc>
      </w:tr>
      <w:tr>
        <w:tblPrEx>
          <w:tblLayout w:type="fixed"/>
        </w:tblPrEx>
        <w:trPr>
          <w:trHeight w:val="766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教学策略选择正确，注重调动学生的学习积极性和创造性思维能力；能根据教学需求选用灵活适当的教学方法；信息技术手段运用合理，正确选择使用各种富媒体，教学辅助效果好。</w:t>
            </w:r>
          </w:p>
        </w:tc>
      </w:tr>
      <w:tr>
        <w:tblPrEx>
          <w:tblLayout w:type="fixed"/>
        </w:tblPrEx>
        <w:trPr>
          <w:trHeight w:val="781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鼓励教师在授课过程中，使用包括但不限于：图片、动画、视频、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HTML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网页等多种媒体技术，恰到好处地运用在教学过程中，以实现较好的教学效果。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265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六、目标达成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(15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Layout w:type="fixed"/>
        </w:tblPrEx>
        <w:trPr>
          <w:trHeight w:val="530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效果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完成设定的教学目标，有效解决实际教学问题，能促进学生知识运用及专业能力提高。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265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七、教学特色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(15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Layout w:type="fixed"/>
        </w:tblPrEx>
        <w:trPr>
          <w:trHeight w:val="530" w:hRule="atLeast"/>
        </w:trPr>
        <w:tc>
          <w:tcPr>
            <w:tcW w:w="1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教学形式新颖，教学过程深入浅出，形象生动，趣味性和启发性强，教学氛围的营造有利于提升学生学习的积极主动性。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1494D"/>
    <w:rsid w:val="37C149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2016-07-08T13:22:00Z</dcterms:created>
  <dc:creator>fdc</dc:creator>
  <cp:lastModifiedBy>fdc</cp:lastModifiedBy>
  <dcterms:modified xsi:type="dcterms:W3CDTF">2016-07-08T13:23:33Z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